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color="000000" w:space="0" w:sz="4" w:val="single"/>
        </w:pBdr>
        <w:spacing w:after="0" w:lineRule="auto"/>
        <w:jc w:val="center"/>
        <w:rPr/>
      </w:pPr>
      <w:bookmarkStart w:colFirst="0" w:colLast="0" w:name="_heading=h.ai75v1167ryw" w:id="0"/>
      <w:bookmarkEnd w:id="0"/>
      <w:r w:rsidDel="00000000" w:rsidR="00000000" w:rsidRPr="00000000">
        <w:rPr>
          <w:rtl w:val="0"/>
        </w:rPr>
        <w:t xml:space="preserve">ATTACHMENT OO - MLSP Annual Monitoring Report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OS/MLSP-25-500-S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25400</wp:posOffset>
                </wp:positionV>
                <wp:extent cx="4067810" cy="576580"/>
                <wp:effectExtent b="0" l="0" r="0" t="0"/>
                <wp:wrapNone/>
                <wp:docPr id="4" name=""/>
                <a:graphic>
                  <a:graphicData uri="http://schemas.microsoft.com/office/word/2010/wordprocessingShape">
                    <wps:wsp>
                      <wps:cNvSpPr/>
                      <wps:cNvPr id="2" name="Shape 2"/>
                      <wps:spPr>
                        <a:xfrm>
                          <a:off x="3331145" y="3510760"/>
                          <a:ext cx="4029710" cy="538480"/>
                        </a:xfrm>
                        <a:prstGeom prst="rect">
                          <a:avLst/>
                        </a:prstGeom>
                        <a:solidFill>
                          <a:srgbClr val="000000"/>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MARYLAND LEGAL SERVICES PROGRAM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Annual Monitoring Report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25400</wp:posOffset>
                </wp:positionV>
                <wp:extent cx="4067810" cy="57658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067810" cy="57658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-104774</wp:posOffset>
            </wp:positionH>
            <wp:positionV relativeFrom="paragraph">
              <wp:posOffset>78105</wp:posOffset>
            </wp:positionV>
            <wp:extent cx="1228725" cy="1195705"/>
            <wp:effectExtent b="0" l="0" r="0" t="0"/>
            <wp:wrapNone/>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28725" cy="1195705"/>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pPr w:leftFromText="180" w:rightFromText="180" w:topFromText="0" w:bottomFromText="0" w:vertAnchor="text" w:horzAnchor="text" w:tblpX="3148" w:tblpY="0"/>
        <w:tblW w:w="9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2"/>
        <w:gridCol w:w="5186"/>
        <w:tblGridChange w:id="0">
          <w:tblGrid>
            <w:gridCol w:w="4002"/>
            <w:gridCol w:w="5186"/>
          </w:tblGrid>
        </w:tblGridChange>
      </w:tblGrid>
      <w:tr>
        <w:trPr>
          <w:cantSplit w:val="0"/>
          <w:trHeight w:val="324" w:hRule="atLeast"/>
          <w:tblHeader w:val="0"/>
        </w:trPr>
        <w:tc>
          <w:tcPr/>
          <w:p w:rsidR="00000000" w:rsidDel="00000000" w:rsidP="00000000" w:rsidRDefault="00000000" w:rsidRPr="00000000" w14:paraId="00000007">
            <w:pPr>
              <w:spacing w:line="360" w:lineRule="auto"/>
              <w:rPr>
                <w:b w:val="1"/>
              </w:rPr>
            </w:pPr>
            <w:r w:rsidDel="00000000" w:rsidR="00000000" w:rsidRPr="00000000">
              <w:rPr>
                <w:b w:val="1"/>
                <w:rtl w:val="0"/>
              </w:rPr>
              <w:t xml:space="preserve">Reporting Period:</w:t>
            </w:r>
          </w:p>
        </w:tc>
        <w:tc>
          <w:tcPr/>
          <w:p w:rsidR="00000000" w:rsidDel="00000000" w:rsidP="00000000" w:rsidRDefault="00000000" w:rsidRPr="00000000" w14:paraId="00000008">
            <w:pPr>
              <w:rPr>
                <w:b w:val="1"/>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9">
            <w:pPr>
              <w:spacing w:line="360" w:lineRule="auto"/>
              <w:rPr>
                <w:b w:val="1"/>
              </w:rPr>
            </w:pPr>
            <w:r w:rsidDel="00000000" w:rsidR="00000000" w:rsidRPr="00000000">
              <w:rPr>
                <w:b w:val="1"/>
                <w:rtl w:val="0"/>
              </w:rPr>
              <w:t xml:space="preserve">Name of Firm/Organization:</w:t>
            </w:r>
          </w:p>
        </w:tc>
        <w:tc>
          <w:tcPr/>
          <w:p w:rsidR="00000000" w:rsidDel="00000000" w:rsidP="00000000" w:rsidRDefault="00000000" w:rsidRPr="00000000" w14:paraId="0000000A">
            <w:pPr>
              <w:rPr>
                <w:b w:val="1"/>
              </w:rPr>
            </w:pPr>
            <w:r w:rsidDel="00000000" w:rsidR="00000000" w:rsidRPr="00000000">
              <w:rPr>
                <w:rtl w:val="0"/>
              </w:rPr>
            </w:r>
          </w:p>
        </w:tc>
      </w:tr>
      <w:tr>
        <w:trPr>
          <w:cantSplit w:val="0"/>
          <w:trHeight w:val="381" w:hRule="atLeast"/>
          <w:tblHeader w:val="0"/>
        </w:trPr>
        <w:tc>
          <w:tcPr>
            <w:vMerge w:val="restart"/>
          </w:tcPr>
          <w:p w:rsidR="00000000" w:rsidDel="00000000" w:rsidP="00000000" w:rsidRDefault="00000000" w:rsidRPr="00000000" w14:paraId="0000000B">
            <w:pPr>
              <w:spacing w:line="360" w:lineRule="auto"/>
              <w:rPr>
                <w:b w:val="1"/>
              </w:rPr>
            </w:pPr>
            <w:r w:rsidDel="00000000" w:rsidR="00000000" w:rsidRPr="00000000">
              <w:rPr>
                <w:b w:val="1"/>
                <w:rtl w:val="0"/>
              </w:rPr>
              <w:t xml:space="preserve">Address:</w:t>
            </w:r>
          </w:p>
        </w:tc>
        <w:tc>
          <w:tcPr/>
          <w:p w:rsidR="00000000" w:rsidDel="00000000" w:rsidP="00000000" w:rsidRDefault="00000000" w:rsidRPr="00000000" w14:paraId="0000000C">
            <w:pPr>
              <w:spacing w:line="360" w:lineRule="auto"/>
              <w:rPr>
                <w:b w:val="1"/>
              </w:rPr>
            </w:pPr>
            <w:r w:rsidDel="00000000" w:rsidR="00000000" w:rsidRPr="00000000">
              <w:rPr>
                <w:rtl w:val="0"/>
              </w:rPr>
            </w:r>
          </w:p>
        </w:tc>
      </w:tr>
      <w:tr>
        <w:trPr>
          <w:cantSplit w:val="0"/>
          <w:trHeight w:val="234" w:hRule="atLeast"/>
          <w:tblHeader w:val="0"/>
        </w:trPr>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0E">
            <w:pPr>
              <w:spacing w:line="360" w:lineRule="auto"/>
              <w:rPr>
                <w:b w:val="1"/>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F">
            <w:pPr>
              <w:spacing w:line="360" w:lineRule="auto"/>
              <w:rPr>
                <w:b w:val="1"/>
              </w:rPr>
            </w:pPr>
            <w:r w:rsidDel="00000000" w:rsidR="00000000" w:rsidRPr="00000000">
              <w:rPr>
                <w:b w:val="1"/>
                <w:rtl w:val="0"/>
              </w:rPr>
              <w:t xml:space="preserve">Contract #:</w:t>
            </w:r>
          </w:p>
        </w:tc>
        <w:tc>
          <w:tcPr/>
          <w:p w:rsidR="00000000" w:rsidDel="00000000" w:rsidP="00000000" w:rsidRDefault="00000000" w:rsidRPr="00000000" w14:paraId="00000010">
            <w:pPr>
              <w:rPr>
                <w:b w:val="1"/>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1">
            <w:pPr>
              <w:spacing w:line="360" w:lineRule="auto"/>
              <w:rPr>
                <w:b w:val="1"/>
              </w:rPr>
            </w:pPr>
            <w:r w:rsidDel="00000000" w:rsidR="00000000" w:rsidRPr="00000000">
              <w:rPr>
                <w:b w:val="1"/>
                <w:rtl w:val="0"/>
              </w:rPr>
              <w:t xml:space="preserve">Jurisdiction:</w:t>
            </w:r>
          </w:p>
        </w:tc>
        <w:tc>
          <w:tcPr/>
          <w:p w:rsidR="00000000" w:rsidDel="00000000" w:rsidP="00000000" w:rsidRDefault="00000000" w:rsidRPr="00000000" w14:paraId="00000012">
            <w:pPr>
              <w:rPr>
                <w:b w:val="1"/>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tabs>
          <w:tab w:val="left" w:leader="none" w:pos="2445"/>
        </w:tabs>
        <w:rPr/>
      </w:pPr>
      <w:r w:rsidDel="00000000" w:rsidR="00000000" w:rsidRPr="00000000">
        <w:rPr>
          <w:rtl w:val="0"/>
        </w:rPr>
        <w:tab/>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Staffing</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2">
      <w:pPr>
        <w:rPr>
          <w:b w:val="1"/>
          <w:sz w:val="8"/>
          <w:szCs w:val="8"/>
        </w:rPr>
      </w:pPr>
      <w:r w:rsidDel="00000000" w:rsidR="00000000" w:rsidRPr="00000000">
        <w:rPr>
          <w:rtl w:val="0"/>
        </w:rPr>
      </w:r>
    </w:p>
    <w:tbl>
      <w:tblPr>
        <w:tblStyle w:val="Table2"/>
        <w:tblW w:w="14140.0" w:type="dxa"/>
        <w:jc w:val="left"/>
        <w:tblInd w:w="98.0" w:type="dxa"/>
        <w:tblLayout w:type="fixed"/>
        <w:tblLook w:val="0400"/>
      </w:tblPr>
      <w:tblGrid>
        <w:gridCol w:w="1630"/>
        <w:gridCol w:w="1890"/>
        <w:gridCol w:w="2160"/>
        <w:gridCol w:w="1890"/>
        <w:gridCol w:w="2250"/>
        <w:gridCol w:w="998"/>
        <w:gridCol w:w="1162"/>
        <w:gridCol w:w="1080"/>
        <w:gridCol w:w="1080"/>
        <w:tblGridChange w:id="0">
          <w:tblGrid>
            <w:gridCol w:w="1630"/>
            <w:gridCol w:w="1890"/>
            <w:gridCol w:w="2160"/>
            <w:gridCol w:w="1890"/>
            <w:gridCol w:w="2250"/>
            <w:gridCol w:w="998"/>
            <w:gridCol w:w="1162"/>
            <w:gridCol w:w="1080"/>
            <w:gridCol w:w="1080"/>
          </w:tblGrid>
        </w:tblGridChange>
      </w:tblGrid>
      <w:tr>
        <w:trPr>
          <w:cantSplit w:val="0"/>
          <w:trHeight w:val="1350" w:hRule="atLeast"/>
          <w:tblHeader w:val="0"/>
        </w:trPr>
        <w:tc>
          <w:tcPr>
            <w:tcBorders>
              <w:top w:color="000000" w:space="0" w:sz="8" w:val="single"/>
              <w:left w:color="000000" w:space="0" w:sz="8" w:val="single"/>
              <w:bottom w:color="000000" w:space="0" w:sz="0" w:val="nil"/>
              <w:right w:color="000000" w:space="0" w:sz="8" w:val="single"/>
            </w:tcBorders>
            <w:shd w:fill="800080" w:val="clear"/>
            <w:vAlign w:val="center"/>
          </w:tcPr>
          <w:p w:rsidR="00000000" w:rsidDel="00000000" w:rsidP="00000000" w:rsidRDefault="00000000" w:rsidRPr="00000000" w14:paraId="00000023">
            <w:pPr>
              <w:jc w:val="center"/>
              <w:rPr/>
            </w:pPr>
            <w:r w:rsidDel="00000000" w:rsidR="00000000" w:rsidRPr="00000000">
              <w:rPr>
                <w:sz w:val="22"/>
                <w:szCs w:val="22"/>
                <w:rtl w:val="0"/>
              </w:rPr>
              <w:t xml:space="preserve">Name of Staff</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 Working Under the Contract</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800080" w:val="clear"/>
            <w:vAlign w:val="center"/>
          </w:tcPr>
          <w:p w:rsidR="00000000" w:rsidDel="00000000" w:rsidP="00000000" w:rsidRDefault="00000000" w:rsidRPr="00000000" w14:paraId="00000024">
            <w:pPr>
              <w:jc w:val="center"/>
              <w:rPr/>
            </w:pPr>
            <w:r w:rsidDel="00000000" w:rsidR="00000000" w:rsidRPr="00000000">
              <w:rPr>
                <w:sz w:val="22"/>
                <w:szCs w:val="22"/>
                <w:rtl w:val="0"/>
              </w:rPr>
              <w:t xml:space="preserve">Staff Position        (e.g. Staff Atty., Paralegal, Admin., Investigator, etc.)</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800080" w:val="clear"/>
            <w:vAlign w:val="center"/>
          </w:tcPr>
          <w:p w:rsidR="00000000" w:rsidDel="00000000" w:rsidP="00000000" w:rsidRDefault="00000000" w:rsidRPr="00000000" w14:paraId="00000025">
            <w:pPr>
              <w:spacing w:after="240" w:lineRule="auto"/>
              <w:jc w:val="center"/>
              <w:rPr/>
            </w:pPr>
            <w:r w:rsidDel="00000000" w:rsidR="00000000" w:rsidRPr="00000000">
              <w:rPr>
                <w:sz w:val="22"/>
                <w:szCs w:val="22"/>
                <w:rtl w:val="0"/>
              </w:rPr>
              <w:t xml:space="preserve">Date that Annual Certificate of Good Standing Provided to MLSP</w:t>
            </w:r>
            <w:r w:rsidDel="00000000" w:rsidR="00000000" w:rsidRPr="00000000">
              <w:rPr>
                <w:sz w:val="22"/>
                <w:szCs w:val="22"/>
                <w:vertAlign w:val="superscript"/>
              </w:rPr>
              <w:footnoteReference w:customMarkFollows="0" w:id="2"/>
            </w:r>
            <w:r w:rsidDel="00000000" w:rsidR="00000000" w:rsidRPr="00000000">
              <w:rPr>
                <w:sz w:val="22"/>
                <w:szCs w:val="22"/>
                <w:rtl w:val="0"/>
              </w:rPr>
              <w:br w:type="textWrapping"/>
              <w:t xml:space="preserve">(MM/DD/YY)</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800080" w:val="clear"/>
            <w:vAlign w:val="center"/>
          </w:tcPr>
          <w:p w:rsidR="00000000" w:rsidDel="00000000" w:rsidP="00000000" w:rsidRDefault="00000000" w:rsidRPr="00000000" w14:paraId="00000026">
            <w:pPr>
              <w:jc w:val="center"/>
              <w:rPr/>
            </w:pPr>
            <w:r w:rsidDel="00000000" w:rsidR="00000000" w:rsidRPr="00000000">
              <w:rPr>
                <w:sz w:val="22"/>
                <w:szCs w:val="22"/>
                <w:rtl w:val="0"/>
              </w:rPr>
              <w:t xml:space="preserve">Total Attorney Training             Hours Completed During the Reporting Period</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800080" w:val="clear"/>
            <w:vAlign w:val="center"/>
          </w:tcPr>
          <w:p w:rsidR="00000000" w:rsidDel="00000000" w:rsidP="00000000" w:rsidRDefault="00000000" w:rsidRPr="00000000" w14:paraId="00000027">
            <w:pPr>
              <w:jc w:val="center"/>
              <w:rPr/>
            </w:pPr>
            <w:r w:rsidDel="00000000" w:rsidR="00000000" w:rsidRPr="00000000">
              <w:rPr>
                <w:sz w:val="22"/>
                <w:szCs w:val="22"/>
                <w:rtl w:val="0"/>
              </w:rPr>
              <w:t xml:space="preserve">Current Caseload Per Attorney at the End of the Reporting Period</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800080" w:val="clear"/>
            <w:vAlign w:val="center"/>
          </w:tcPr>
          <w:p w:rsidR="00000000" w:rsidDel="00000000" w:rsidP="00000000" w:rsidRDefault="00000000" w:rsidRPr="00000000" w14:paraId="00000028">
            <w:pPr>
              <w:jc w:val="center"/>
              <w:rPr/>
            </w:pPr>
            <w:r w:rsidDel="00000000" w:rsidR="00000000" w:rsidRPr="00000000">
              <w:rPr>
                <w:sz w:val="22"/>
                <w:szCs w:val="22"/>
                <w:rtl w:val="0"/>
              </w:rPr>
              <w:t xml:space="preserve">Average Hours           Per Case</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800080" w:val="clear"/>
          </w:tcPr>
          <w:p w:rsidR="00000000" w:rsidDel="00000000" w:rsidP="00000000" w:rsidRDefault="00000000" w:rsidRPr="00000000" w14:paraId="00000029">
            <w:pPr>
              <w:jc w:val="center"/>
              <w:rPr>
                <w:color w:val="ffffff"/>
              </w:rPr>
            </w:pPr>
            <w:r w:rsidDel="00000000" w:rsidR="00000000" w:rsidRPr="00000000">
              <w:rPr>
                <w:rtl w:val="0"/>
              </w:rPr>
            </w:r>
          </w:p>
          <w:p w:rsidR="00000000" w:rsidDel="00000000" w:rsidP="00000000" w:rsidRDefault="00000000" w:rsidRPr="00000000" w14:paraId="0000002A">
            <w:pPr>
              <w:jc w:val="center"/>
              <w:rPr>
                <w:color w:val="ffffff"/>
              </w:rPr>
            </w:pPr>
            <w:r w:rsidDel="00000000" w:rsidR="00000000" w:rsidRPr="00000000">
              <w:rPr>
                <w:color w:val="ffffff"/>
                <w:sz w:val="22"/>
                <w:szCs w:val="22"/>
                <w:rtl w:val="0"/>
              </w:rPr>
              <w:t xml:space="preserve">Hourly Wage</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800080" w:val="clear"/>
          </w:tcPr>
          <w:p w:rsidR="00000000" w:rsidDel="00000000" w:rsidP="00000000" w:rsidRDefault="00000000" w:rsidRPr="00000000" w14:paraId="0000002B">
            <w:pPr>
              <w:jc w:val="center"/>
              <w:rPr>
                <w:color w:val="ffffff"/>
              </w:rPr>
            </w:pPr>
            <w:r w:rsidDel="00000000" w:rsidR="00000000" w:rsidRPr="00000000">
              <w:rPr>
                <w:color w:val="ffffff"/>
                <w:sz w:val="22"/>
                <w:szCs w:val="22"/>
                <w:rtl w:val="0"/>
              </w:rPr>
              <w:t xml:space="preserve">Hours worked for Contract Year</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800080" w:val="clear"/>
          </w:tcPr>
          <w:p w:rsidR="00000000" w:rsidDel="00000000" w:rsidP="00000000" w:rsidRDefault="00000000" w:rsidRPr="00000000" w14:paraId="0000002C">
            <w:pPr>
              <w:jc w:val="center"/>
              <w:rPr>
                <w:color w:val="ffffff"/>
              </w:rPr>
            </w:pPr>
            <w:r w:rsidDel="00000000" w:rsidR="00000000" w:rsidRPr="00000000">
              <w:rPr>
                <w:color w:val="ffffff"/>
                <w:sz w:val="22"/>
                <w:szCs w:val="22"/>
                <w:rtl w:val="0"/>
              </w:rPr>
              <w:t xml:space="preserve">Total</w:t>
            </w:r>
            <w:r w:rsidDel="00000000" w:rsidR="00000000" w:rsidRPr="00000000">
              <w:rPr>
                <w:color w:val="ffffff"/>
                <w:sz w:val="18"/>
                <w:szCs w:val="18"/>
                <w:vertAlign w:val="superscript"/>
                <w:rtl w:val="0"/>
              </w:rPr>
              <w:t xml:space="preserve">7</w:t>
            </w:r>
            <w:r w:rsidDel="00000000" w:rsidR="00000000" w:rsidRPr="00000000">
              <w:rPr>
                <w:color w:val="ffffff"/>
                <w:sz w:val="22"/>
                <w:szCs w:val="22"/>
                <w:rtl w:val="0"/>
              </w:rPr>
              <w:t xml:space="preserve"> Paid amount (with fringe benefits)</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Client Contacts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single"/>
          <w:shd w:fill="auto" w:val="clear"/>
          <w:vertAlign w:val="baseline"/>
        </w:rPr>
      </w:pPr>
      <w:r w:rsidDel="00000000" w:rsidR="00000000" w:rsidRPr="00000000">
        <w:rPr>
          <w:rtl w:val="0"/>
        </w:rPr>
      </w:r>
    </w:p>
    <w:tbl>
      <w:tblPr>
        <w:tblStyle w:val="Table3"/>
        <w:tblW w:w="12841.999999999998" w:type="dxa"/>
        <w:jc w:val="left"/>
        <w:tblInd w:w="98.0" w:type="dxa"/>
        <w:tblLayout w:type="fixed"/>
        <w:tblLook w:val="0400"/>
      </w:tblPr>
      <w:tblGrid>
        <w:gridCol w:w="3512"/>
        <w:gridCol w:w="3127"/>
        <w:gridCol w:w="2977"/>
        <w:gridCol w:w="3226"/>
        <w:tblGridChange w:id="0">
          <w:tblGrid>
            <w:gridCol w:w="3512"/>
            <w:gridCol w:w="3127"/>
            <w:gridCol w:w="2977"/>
            <w:gridCol w:w="3226"/>
          </w:tblGrid>
        </w:tblGridChange>
      </w:tblGrid>
      <w:tr>
        <w:trPr>
          <w:cantSplit w:val="0"/>
          <w:trHeight w:val="1125" w:hRule="atLeast"/>
          <w:tblHeader w:val="0"/>
        </w:trPr>
        <w:tc>
          <w:tcPr>
            <w:tcBorders>
              <w:top w:color="000000" w:space="0" w:sz="8" w:val="single"/>
              <w:left w:color="000000" w:space="0" w:sz="8" w:val="single"/>
              <w:bottom w:color="000000" w:space="0" w:sz="0" w:val="nil"/>
              <w:right w:color="000000" w:space="0" w:sz="8" w:val="single"/>
            </w:tcBorders>
            <w:shd w:fill="0000ff" w:val="clear"/>
            <w:vAlign w:val="center"/>
          </w:tcPr>
          <w:p w:rsidR="00000000" w:rsidDel="00000000" w:rsidP="00000000" w:rsidRDefault="00000000" w:rsidRPr="00000000" w14:paraId="00000039">
            <w:pPr>
              <w:jc w:val="center"/>
              <w:rPr>
                <w:b w:val="1"/>
              </w:rPr>
            </w:pPr>
            <w:r w:rsidDel="00000000" w:rsidR="00000000" w:rsidRPr="00000000">
              <w:rPr>
                <w:b w:val="1"/>
                <w:sz w:val="22"/>
                <w:szCs w:val="22"/>
                <w:rtl w:val="0"/>
              </w:rPr>
              <w:t xml:space="preserve">Total Number of Cases at the                    </w:t>
            </w:r>
            <w:r w:rsidDel="00000000" w:rsidR="00000000" w:rsidRPr="00000000">
              <w:rPr>
                <w:b w:val="1"/>
                <w:sz w:val="22"/>
                <w:szCs w:val="22"/>
                <w:u w:val="single"/>
                <w:rtl w:val="0"/>
              </w:rPr>
              <w:t xml:space="preserve">START</w:t>
            </w:r>
            <w:r w:rsidDel="00000000" w:rsidR="00000000" w:rsidRPr="00000000">
              <w:rPr>
                <w:b w:val="1"/>
                <w:sz w:val="22"/>
                <w:szCs w:val="22"/>
                <w:rtl w:val="0"/>
              </w:rPr>
              <w:t xml:space="preserve"> of the Reporting Period</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0000ff" w:val="clear"/>
            <w:vAlign w:val="center"/>
          </w:tcPr>
          <w:p w:rsidR="00000000" w:rsidDel="00000000" w:rsidP="00000000" w:rsidRDefault="00000000" w:rsidRPr="00000000" w14:paraId="0000003A">
            <w:pPr>
              <w:jc w:val="center"/>
              <w:rPr>
                <w:b w:val="1"/>
              </w:rPr>
            </w:pPr>
            <w:r w:rsidDel="00000000" w:rsidR="00000000" w:rsidRPr="00000000">
              <w:rPr>
                <w:b w:val="1"/>
                <w:sz w:val="22"/>
                <w:szCs w:val="22"/>
                <w:rtl w:val="0"/>
              </w:rPr>
              <w:t xml:space="preserve">Total Number of Cases </w:t>
            </w:r>
            <w:r w:rsidDel="00000000" w:rsidR="00000000" w:rsidRPr="00000000">
              <w:rPr>
                <w:b w:val="1"/>
                <w:sz w:val="22"/>
                <w:szCs w:val="22"/>
                <w:u w:val="single"/>
                <w:rtl w:val="0"/>
              </w:rPr>
              <w:t xml:space="preserve">CLOSED</w:t>
            </w:r>
            <w:r w:rsidDel="00000000" w:rsidR="00000000" w:rsidRPr="00000000">
              <w:rPr>
                <w:b w:val="1"/>
                <w:sz w:val="22"/>
                <w:szCs w:val="22"/>
                <w:rtl w:val="0"/>
              </w:rPr>
              <w:t xml:space="preserve"> During the Reporting Period</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0000ff" w:val="clear"/>
            <w:vAlign w:val="center"/>
          </w:tcPr>
          <w:p w:rsidR="00000000" w:rsidDel="00000000" w:rsidP="00000000" w:rsidRDefault="00000000" w:rsidRPr="00000000" w14:paraId="0000003B">
            <w:pPr>
              <w:jc w:val="center"/>
              <w:rPr>
                <w:b w:val="1"/>
              </w:rPr>
            </w:pPr>
            <w:r w:rsidDel="00000000" w:rsidR="00000000" w:rsidRPr="00000000">
              <w:rPr>
                <w:b w:val="1"/>
                <w:sz w:val="22"/>
                <w:szCs w:val="22"/>
                <w:rtl w:val="0"/>
              </w:rPr>
              <w:t xml:space="preserve">Total Number of </w:t>
            </w:r>
            <w:r w:rsidDel="00000000" w:rsidR="00000000" w:rsidRPr="00000000">
              <w:rPr>
                <w:b w:val="1"/>
                <w:sz w:val="22"/>
                <w:szCs w:val="22"/>
                <w:u w:val="single"/>
                <w:rtl w:val="0"/>
              </w:rPr>
              <w:t xml:space="preserve">NEW</w:t>
            </w:r>
            <w:r w:rsidDel="00000000" w:rsidR="00000000" w:rsidRPr="00000000">
              <w:rPr>
                <w:b w:val="1"/>
                <w:sz w:val="22"/>
                <w:szCs w:val="22"/>
                <w:rtl w:val="0"/>
              </w:rPr>
              <w:t xml:space="preserve"> Cases During the Reporting Period</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0000ff" w:val="clear"/>
            <w:vAlign w:val="center"/>
          </w:tcPr>
          <w:p w:rsidR="00000000" w:rsidDel="00000000" w:rsidP="00000000" w:rsidRDefault="00000000" w:rsidRPr="00000000" w14:paraId="0000003C">
            <w:pPr>
              <w:jc w:val="center"/>
              <w:rPr>
                <w:b w:val="1"/>
              </w:rPr>
            </w:pPr>
            <w:r w:rsidDel="00000000" w:rsidR="00000000" w:rsidRPr="00000000">
              <w:rPr>
                <w:b w:val="1"/>
                <w:sz w:val="22"/>
                <w:szCs w:val="22"/>
                <w:rtl w:val="0"/>
              </w:rPr>
              <w:t xml:space="preserve">Total Number of </w:t>
            </w:r>
            <w:r w:rsidDel="00000000" w:rsidR="00000000" w:rsidRPr="00000000">
              <w:rPr>
                <w:b w:val="1"/>
                <w:sz w:val="22"/>
                <w:szCs w:val="22"/>
                <w:u w:val="single"/>
                <w:rtl w:val="0"/>
              </w:rPr>
              <w:t xml:space="preserve">OPEN</w:t>
            </w:r>
            <w:r w:rsidDel="00000000" w:rsidR="00000000" w:rsidRPr="00000000">
              <w:rPr>
                <w:b w:val="1"/>
                <w:sz w:val="22"/>
                <w:szCs w:val="22"/>
                <w:rtl w:val="0"/>
              </w:rPr>
              <w:t xml:space="preserve"> Cases at the End of the Reporting Period</w:t>
            </w:r>
            <w:r w:rsidDel="00000000" w:rsidR="00000000" w:rsidRPr="00000000">
              <w:rPr>
                <w:rtl w:val="0"/>
              </w:rPr>
            </w:r>
          </w:p>
        </w:tc>
      </w:tr>
      <w:tr>
        <w:trPr>
          <w:cantSplit w:val="0"/>
          <w:trHeight w:val="78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Account Management</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single"/>
          <w:shd w:fill="auto" w:val="clear"/>
          <w:vertAlign w:val="baseline"/>
        </w:rPr>
      </w:pPr>
      <w:r w:rsidDel="00000000" w:rsidR="00000000" w:rsidRPr="00000000">
        <w:rPr>
          <w:rtl w:val="0"/>
        </w:rPr>
      </w:r>
    </w:p>
    <w:tbl>
      <w:tblPr>
        <w:tblStyle w:val="Table4"/>
        <w:tblW w:w="12816.000000000002"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365"/>
        <w:gridCol w:w="1767"/>
        <w:gridCol w:w="1594"/>
        <w:gridCol w:w="1868"/>
        <w:gridCol w:w="1365"/>
        <w:gridCol w:w="1692"/>
        <w:gridCol w:w="1365"/>
        <w:tblGridChange w:id="0">
          <w:tblGrid>
            <w:gridCol w:w="1800"/>
            <w:gridCol w:w="1365"/>
            <w:gridCol w:w="1767"/>
            <w:gridCol w:w="1594"/>
            <w:gridCol w:w="1868"/>
            <w:gridCol w:w="1365"/>
            <w:gridCol w:w="1692"/>
            <w:gridCol w:w="1365"/>
          </w:tblGrid>
        </w:tblGridChange>
      </w:tblGrid>
      <w:tr>
        <w:trPr>
          <w:cantSplit w:val="0"/>
          <w:tblHeader w:val="0"/>
        </w:trPr>
        <w:tc>
          <w:tcPr>
            <w:shd w:fill="00cc00" w:val="clear"/>
            <w:vAlign w:val="center"/>
          </w:tcPr>
          <w:p w:rsidR="00000000" w:rsidDel="00000000" w:rsidP="00000000" w:rsidRDefault="00000000" w:rsidRPr="00000000" w14:paraId="00000043">
            <w:pPr>
              <w:jc w:val="center"/>
              <w:rPr>
                <w:b w:val="1"/>
                <w:color w:val="ffffff"/>
              </w:rPr>
            </w:pPr>
            <w:r w:rsidDel="00000000" w:rsidR="00000000" w:rsidRPr="00000000">
              <w:rPr>
                <w:b w:val="1"/>
                <w:color w:val="ffffff"/>
                <w:sz w:val="22"/>
                <w:szCs w:val="22"/>
                <w:rtl w:val="0"/>
              </w:rPr>
              <w:t xml:space="preserve">Total Number Cases at End of Reporting Period</w:t>
            </w:r>
            <w:r w:rsidDel="00000000" w:rsidR="00000000" w:rsidRPr="00000000">
              <w:rPr>
                <w:rtl w:val="0"/>
              </w:rPr>
            </w:r>
          </w:p>
        </w:tc>
        <w:tc>
          <w:tcPr>
            <w:vAlign w:val="center"/>
          </w:tcPr>
          <w:p w:rsidR="00000000" w:rsidDel="00000000" w:rsidP="00000000" w:rsidRDefault="00000000" w:rsidRPr="00000000" w14:paraId="00000044">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45">
            <w:pPr>
              <w:jc w:val="center"/>
              <w:rPr>
                <w:b w:val="1"/>
                <w:color w:val="ffffff"/>
              </w:rPr>
            </w:pPr>
            <w:r w:rsidDel="00000000" w:rsidR="00000000" w:rsidRPr="00000000">
              <w:rPr>
                <w:b w:val="1"/>
                <w:color w:val="ffffff"/>
                <w:sz w:val="22"/>
                <w:szCs w:val="22"/>
                <w:rtl w:val="0"/>
              </w:rPr>
              <w:t xml:space="preserve">Total Number TPR Proceedings</w:t>
            </w:r>
            <w:r w:rsidDel="00000000" w:rsidR="00000000" w:rsidRPr="00000000">
              <w:rPr>
                <w:rtl w:val="0"/>
              </w:rPr>
            </w:r>
          </w:p>
        </w:tc>
        <w:tc>
          <w:tcPr>
            <w:vAlign w:val="center"/>
          </w:tcPr>
          <w:p w:rsidR="00000000" w:rsidDel="00000000" w:rsidP="00000000" w:rsidRDefault="00000000" w:rsidRPr="00000000" w14:paraId="00000046">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47">
            <w:pPr>
              <w:jc w:val="center"/>
              <w:rPr>
                <w:b w:val="1"/>
                <w:color w:val="ffffff"/>
              </w:rPr>
            </w:pPr>
            <w:r w:rsidDel="00000000" w:rsidR="00000000" w:rsidRPr="00000000">
              <w:rPr>
                <w:b w:val="1"/>
                <w:color w:val="ffffff"/>
                <w:sz w:val="22"/>
                <w:szCs w:val="22"/>
                <w:rtl w:val="0"/>
              </w:rPr>
              <w:t xml:space="preserve">Total Number Motions Hearings</w:t>
            </w:r>
            <w:r w:rsidDel="00000000" w:rsidR="00000000" w:rsidRPr="00000000">
              <w:rPr>
                <w:rtl w:val="0"/>
              </w:rPr>
            </w:r>
          </w:p>
        </w:tc>
        <w:tc>
          <w:tcPr>
            <w:vAlign w:val="center"/>
          </w:tcPr>
          <w:p w:rsidR="00000000" w:rsidDel="00000000" w:rsidP="00000000" w:rsidRDefault="00000000" w:rsidRPr="00000000" w14:paraId="00000048">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49">
            <w:pPr>
              <w:jc w:val="center"/>
              <w:rPr>
                <w:b w:val="1"/>
                <w:color w:val="ffffff"/>
              </w:rPr>
            </w:pPr>
            <w:r w:rsidDel="00000000" w:rsidR="00000000" w:rsidRPr="00000000">
              <w:rPr>
                <w:b w:val="1"/>
                <w:color w:val="ffffff"/>
                <w:sz w:val="22"/>
                <w:szCs w:val="22"/>
                <w:shd w:fill="00cc00" w:val="clear"/>
                <w:rtl w:val="0"/>
              </w:rPr>
              <w:t xml:space="preserve">Total Number Ancillary Meetings</w:t>
            </w:r>
            <w:r w:rsidDel="00000000" w:rsidR="00000000" w:rsidRPr="00000000">
              <w:rPr>
                <w:b w:val="1"/>
                <w:color w:val="ffffff"/>
                <w:sz w:val="22"/>
                <w:szCs w:val="22"/>
                <w:vertAlign w:val="superscript"/>
              </w:rPr>
              <w:footnoteReference w:customMarkFollows="0" w:id="4"/>
            </w:r>
            <w:r w:rsidDel="00000000" w:rsidR="00000000" w:rsidRPr="00000000">
              <w:rPr>
                <w:rtl w:val="0"/>
              </w:rPr>
            </w:r>
          </w:p>
        </w:tc>
        <w:tc>
          <w:tcPr/>
          <w:p w:rsidR="00000000" w:rsidDel="00000000" w:rsidP="00000000" w:rsidRDefault="00000000" w:rsidRPr="00000000" w14:paraId="0000004A">
            <w:pPr>
              <w:jc w:val="center"/>
              <w:rPr>
                <w:b w:val="1"/>
              </w:rPr>
            </w:pPr>
            <w:r w:rsidDel="00000000" w:rsidR="00000000" w:rsidRPr="00000000">
              <w:rPr>
                <w:rtl w:val="0"/>
              </w:rPr>
            </w:r>
          </w:p>
        </w:tc>
      </w:tr>
      <w:tr>
        <w:trPr>
          <w:cantSplit w:val="0"/>
          <w:trHeight w:val="827" w:hRule="atLeast"/>
          <w:tblHeader w:val="0"/>
        </w:trPr>
        <w:tc>
          <w:tcPr>
            <w:shd w:fill="00cc00" w:val="clear"/>
            <w:vAlign w:val="bottom"/>
          </w:tcPr>
          <w:p w:rsidR="00000000" w:rsidDel="00000000" w:rsidP="00000000" w:rsidRDefault="00000000" w:rsidRPr="00000000" w14:paraId="0000004B">
            <w:pPr>
              <w:jc w:val="center"/>
              <w:rPr>
                <w:b w:val="1"/>
                <w:color w:val="ffffff"/>
              </w:rPr>
            </w:pPr>
            <w:r w:rsidDel="00000000" w:rsidR="00000000" w:rsidRPr="00000000">
              <w:rPr>
                <w:b w:val="1"/>
                <w:color w:val="ffffff"/>
                <w:sz w:val="22"/>
                <w:szCs w:val="22"/>
                <w:rtl w:val="0"/>
              </w:rPr>
              <w:t xml:space="preserve">Total Number Adoption Proceedings </w:t>
            </w:r>
            <w:r w:rsidDel="00000000" w:rsidR="00000000" w:rsidRPr="00000000">
              <w:rPr>
                <w:rtl w:val="0"/>
              </w:rPr>
            </w:r>
          </w:p>
          <w:p w:rsidR="00000000" w:rsidDel="00000000" w:rsidP="00000000" w:rsidRDefault="00000000" w:rsidRPr="00000000" w14:paraId="0000004C">
            <w:pPr>
              <w:jc w:val="center"/>
              <w:rPr>
                <w:b w:val="1"/>
                <w:color w:val="ffffff"/>
              </w:rPr>
            </w:pPr>
            <w:r w:rsidDel="00000000" w:rsidR="00000000" w:rsidRPr="00000000">
              <w:rPr>
                <w:rtl w:val="0"/>
              </w:rPr>
            </w:r>
          </w:p>
        </w:tc>
        <w:tc>
          <w:tcPr>
            <w:vAlign w:val="bottom"/>
          </w:tcPr>
          <w:p w:rsidR="00000000" w:rsidDel="00000000" w:rsidP="00000000" w:rsidRDefault="00000000" w:rsidRPr="00000000" w14:paraId="0000004D">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4E">
            <w:pPr>
              <w:jc w:val="center"/>
              <w:rPr>
                <w:b w:val="1"/>
                <w:color w:val="ffffff"/>
              </w:rPr>
            </w:pPr>
            <w:r w:rsidDel="00000000" w:rsidR="00000000" w:rsidRPr="00000000">
              <w:rPr>
                <w:b w:val="1"/>
                <w:color w:val="ffffff"/>
                <w:sz w:val="22"/>
                <w:szCs w:val="22"/>
                <w:rtl w:val="0"/>
              </w:rPr>
              <w:t xml:space="preserve">Total Number Voluntary Placement Proceedings</w:t>
            </w:r>
            <w:r w:rsidDel="00000000" w:rsidR="00000000" w:rsidRPr="00000000">
              <w:rPr>
                <w:rtl w:val="0"/>
              </w:rPr>
            </w:r>
          </w:p>
        </w:tc>
        <w:tc>
          <w:tcPr/>
          <w:p w:rsidR="00000000" w:rsidDel="00000000" w:rsidP="00000000" w:rsidRDefault="00000000" w:rsidRPr="00000000" w14:paraId="0000004F">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50">
            <w:pPr>
              <w:jc w:val="center"/>
              <w:rPr>
                <w:b w:val="1"/>
                <w:color w:val="ffffff"/>
              </w:rPr>
            </w:pPr>
            <w:r w:rsidDel="00000000" w:rsidR="00000000" w:rsidRPr="00000000">
              <w:rPr>
                <w:b w:val="1"/>
                <w:color w:val="ffffff"/>
                <w:sz w:val="22"/>
                <w:szCs w:val="22"/>
                <w:rtl w:val="0"/>
              </w:rPr>
              <w:t xml:space="preserve">Total Number Permanency Planning Hearings</w:t>
            </w:r>
            <w:r w:rsidDel="00000000" w:rsidR="00000000" w:rsidRPr="00000000">
              <w:rPr>
                <w:rtl w:val="0"/>
              </w:rPr>
            </w:r>
          </w:p>
        </w:tc>
        <w:tc>
          <w:tcPr/>
          <w:p w:rsidR="00000000" w:rsidDel="00000000" w:rsidP="00000000" w:rsidRDefault="00000000" w:rsidRPr="00000000" w14:paraId="00000051">
            <w:pPr>
              <w:jc w:val="center"/>
              <w:rPr>
                <w:b w:val="1"/>
                <w:color w:val="ffffff"/>
              </w:rPr>
            </w:pPr>
            <w:r w:rsidDel="00000000" w:rsidR="00000000" w:rsidRPr="00000000">
              <w:rPr>
                <w:rtl w:val="0"/>
              </w:rPr>
            </w:r>
          </w:p>
        </w:tc>
        <w:tc>
          <w:tcPr>
            <w:shd w:fill="24ba41" w:val="clear"/>
            <w:vAlign w:val="center"/>
          </w:tcPr>
          <w:p w:rsidR="00000000" w:rsidDel="00000000" w:rsidP="00000000" w:rsidRDefault="00000000" w:rsidRPr="00000000" w14:paraId="00000052">
            <w:pPr>
              <w:jc w:val="center"/>
              <w:rPr>
                <w:b w:val="1"/>
                <w:color w:val="ffffff"/>
              </w:rPr>
            </w:pPr>
            <w:r w:rsidDel="00000000" w:rsidR="00000000" w:rsidRPr="00000000">
              <w:rPr>
                <w:b w:val="1"/>
                <w:color w:val="ffffff"/>
                <w:sz w:val="22"/>
                <w:szCs w:val="22"/>
                <w:shd w:fill="00cc00" w:val="clear"/>
                <w:rtl w:val="0"/>
              </w:rPr>
              <w:t xml:space="preserve">Total Number APS Hearings</w:t>
            </w:r>
            <w:r w:rsidDel="00000000" w:rsidR="00000000" w:rsidRPr="00000000">
              <w:rPr>
                <w:b w:val="1"/>
                <w:color w:val="ffffff"/>
                <w:sz w:val="22"/>
                <w:szCs w:val="22"/>
                <w:vertAlign w:val="superscript"/>
              </w:rPr>
              <w:footnoteReference w:customMarkFollows="0" w:id="5"/>
            </w:r>
            <w:r w:rsidDel="00000000" w:rsidR="00000000" w:rsidRPr="00000000">
              <w:rPr>
                <w:rtl w:val="0"/>
              </w:rPr>
            </w:r>
          </w:p>
        </w:tc>
        <w:tc>
          <w:tcPr/>
          <w:p w:rsidR="00000000" w:rsidDel="00000000" w:rsidP="00000000" w:rsidRDefault="00000000" w:rsidRPr="00000000" w14:paraId="00000053">
            <w:pPr>
              <w:jc w:val="center"/>
              <w:rPr>
                <w:b w:val="1"/>
              </w:rPr>
            </w:pPr>
            <w:r w:rsidDel="00000000" w:rsidR="00000000" w:rsidRPr="00000000">
              <w:rPr>
                <w:rtl w:val="0"/>
              </w:rPr>
            </w:r>
          </w:p>
        </w:tc>
      </w:tr>
      <w:tr>
        <w:trPr>
          <w:cantSplit w:val="0"/>
          <w:trHeight w:val="863" w:hRule="atLeast"/>
          <w:tblHeader w:val="0"/>
        </w:trPr>
        <w:tc>
          <w:tcPr>
            <w:shd w:fill="00cc00" w:val="clear"/>
            <w:vAlign w:val="bottom"/>
          </w:tcPr>
          <w:p w:rsidR="00000000" w:rsidDel="00000000" w:rsidP="00000000" w:rsidRDefault="00000000" w:rsidRPr="00000000" w14:paraId="00000054">
            <w:pPr>
              <w:jc w:val="center"/>
              <w:rPr>
                <w:b w:val="1"/>
                <w:color w:val="ffffff"/>
              </w:rPr>
            </w:pPr>
            <w:r w:rsidDel="00000000" w:rsidR="00000000" w:rsidRPr="00000000">
              <w:rPr>
                <w:b w:val="1"/>
                <w:color w:val="ffffff"/>
                <w:sz w:val="22"/>
                <w:szCs w:val="22"/>
                <w:rtl w:val="0"/>
              </w:rPr>
              <w:t xml:space="preserve">Total Number Adjudication &amp; Disposition Proceedings</w:t>
            </w:r>
            <w:r w:rsidDel="00000000" w:rsidR="00000000" w:rsidRPr="00000000">
              <w:rPr>
                <w:rtl w:val="0"/>
              </w:rPr>
            </w:r>
          </w:p>
        </w:tc>
        <w:tc>
          <w:tcPr>
            <w:vAlign w:val="bottom"/>
          </w:tcPr>
          <w:p w:rsidR="00000000" w:rsidDel="00000000" w:rsidP="00000000" w:rsidRDefault="00000000" w:rsidRPr="00000000" w14:paraId="00000055">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56">
            <w:pPr>
              <w:jc w:val="center"/>
              <w:rPr>
                <w:b w:val="1"/>
                <w:color w:val="ffffff"/>
              </w:rPr>
            </w:pPr>
            <w:r w:rsidDel="00000000" w:rsidR="00000000" w:rsidRPr="00000000">
              <w:rPr>
                <w:b w:val="1"/>
                <w:color w:val="ffffff"/>
                <w:sz w:val="22"/>
                <w:szCs w:val="22"/>
                <w:rtl w:val="0"/>
              </w:rPr>
              <w:t xml:space="preserve">Total Number Appellate Proceedings</w:t>
            </w:r>
            <w:r w:rsidDel="00000000" w:rsidR="00000000" w:rsidRPr="00000000">
              <w:rPr>
                <w:rtl w:val="0"/>
              </w:rPr>
            </w:r>
          </w:p>
        </w:tc>
        <w:tc>
          <w:tcPr/>
          <w:p w:rsidR="00000000" w:rsidDel="00000000" w:rsidP="00000000" w:rsidRDefault="00000000" w:rsidRPr="00000000" w14:paraId="00000057">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58">
            <w:pPr>
              <w:jc w:val="center"/>
              <w:rPr>
                <w:b w:val="1"/>
                <w:color w:val="ffffff"/>
              </w:rPr>
            </w:pPr>
            <w:r w:rsidDel="00000000" w:rsidR="00000000" w:rsidRPr="00000000">
              <w:rPr>
                <w:b w:val="1"/>
                <w:color w:val="ffffff"/>
                <w:sz w:val="22"/>
                <w:szCs w:val="22"/>
                <w:rtl w:val="0"/>
              </w:rPr>
              <w:t xml:space="preserve">Total Number Preliminary Hearings</w:t>
            </w:r>
            <w:r w:rsidDel="00000000" w:rsidR="00000000" w:rsidRPr="00000000">
              <w:rPr>
                <w:rtl w:val="0"/>
              </w:rPr>
            </w:r>
          </w:p>
        </w:tc>
        <w:tc>
          <w:tcPr/>
          <w:p w:rsidR="00000000" w:rsidDel="00000000" w:rsidP="00000000" w:rsidRDefault="00000000" w:rsidRPr="00000000" w14:paraId="00000059">
            <w:pPr>
              <w:jc w:val="center"/>
              <w:rPr>
                <w:b w:val="1"/>
                <w:color w:val="ffffff"/>
              </w:rPr>
            </w:pPr>
            <w:r w:rsidDel="00000000" w:rsidR="00000000" w:rsidRPr="00000000">
              <w:rPr>
                <w:rtl w:val="0"/>
              </w:rPr>
            </w:r>
          </w:p>
        </w:tc>
        <w:tc>
          <w:tcPr>
            <w:shd w:fill="24ba41" w:val="clear"/>
            <w:vAlign w:val="center"/>
          </w:tcPr>
          <w:p w:rsidR="00000000" w:rsidDel="00000000" w:rsidP="00000000" w:rsidRDefault="00000000" w:rsidRPr="00000000" w14:paraId="0000005A">
            <w:pPr>
              <w:jc w:val="center"/>
              <w:rPr>
                <w:b w:val="1"/>
                <w:color w:val="ffffff"/>
              </w:rPr>
            </w:pPr>
            <w:r w:rsidDel="00000000" w:rsidR="00000000" w:rsidRPr="00000000">
              <w:rPr>
                <w:b w:val="1"/>
                <w:color w:val="ffffff"/>
                <w:sz w:val="22"/>
                <w:szCs w:val="22"/>
                <w:shd w:fill="00cc00" w:val="clear"/>
                <w:rtl w:val="0"/>
              </w:rPr>
              <w:t xml:space="preserve">Total Number APGRB Proceedings</w:t>
            </w:r>
            <w:r w:rsidDel="00000000" w:rsidR="00000000" w:rsidRPr="00000000">
              <w:rPr>
                <w:b w:val="1"/>
                <w:color w:val="ffffff"/>
                <w:sz w:val="22"/>
                <w:szCs w:val="22"/>
                <w:vertAlign w:val="superscript"/>
              </w:rPr>
              <w:footnoteReference w:customMarkFollows="0" w:id="6"/>
            </w:r>
            <w:r w:rsidDel="00000000" w:rsidR="00000000" w:rsidRPr="00000000">
              <w:rPr>
                <w:rtl w:val="0"/>
              </w:rPr>
            </w:r>
          </w:p>
        </w:tc>
        <w:tc>
          <w:tcPr/>
          <w:p w:rsidR="00000000" w:rsidDel="00000000" w:rsidP="00000000" w:rsidRDefault="00000000" w:rsidRPr="00000000" w14:paraId="0000005B">
            <w:pPr>
              <w:jc w:val="center"/>
              <w:rPr>
                <w:b w:val="1"/>
              </w:rPr>
            </w:pPr>
            <w:r w:rsidDel="00000000" w:rsidR="00000000" w:rsidRPr="00000000">
              <w:rPr>
                <w:rtl w:val="0"/>
              </w:rPr>
            </w:r>
          </w:p>
        </w:tc>
      </w:tr>
      <w:tr>
        <w:trPr>
          <w:cantSplit w:val="0"/>
          <w:tblHeader w:val="0"/>
        </w:trPr>
        <w:tc>
          <w:tcPr>
            <w:shd w:fill="00cc00" w:val="clear"/>
            <w:vAlign w:val="bottom"/>
          </w:tcPr>
          <w:p w:rsidR="00000000" w:rsidDel="00000000" w:rsidP="00000000" w:rsidRDefault="00000000" w:rsidRPr="00000000" w14:paraId="0000005C">
            <w:pPr>
              <w:jc w:val="center"/>
              <w:rPr>
                <w:b w:val="1"/>
                <w:color w:val="ffffff"/>
              </w:rPr>
            </w:pPr>
            <w:r w:rsidDel="00000000" w:rsidR="00000000" w:rsidRPr="00000000">
              <w:rPr>
                <w:b w:val="1"/>
                <w:color w:val="ffffff"/>
                <w:sz w:val="22"/>
                <w:szCs w:val="22"/>
                <w:rtl w:val="0"/>
              </w:rPr>
              <w:t xml:space="preserve">Total Number Shelter Care  Proceedings</w:t>
            </w:r>
            <w:r w:rsidDel="00000000" w:rsidR="00000000" w:rsidRPr="00000000">
              <w:rPr>
                <w:rtl w:val="0"/>
              </w:rPr>
            </w:r>
          </w:p>
        </w:tc>
        <w:tc>
          <w:tcPr>
            <w:vAlign w:val="bottom"/>
          </w:tcPr>
          <w:p w:rsidR="00000000" w:rsidDel="00000000" w:rsidP="00000000" w:rsidRDefault="00000000" w:rsidRPr="00000000" w14:paraId="0000005D">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5E">
            <w:pPr>
              <w:jc w:val="center"/>
              <w:rPr>
                <w:b w:val="1"/>
                <w:color w:val="ffffff"/>
              </w:rPr>
            </w:pPr>
            <w:r w:rsidDel="00000000" w:rsidR="00000000" w:rsidRPr="00000000">
              <w:rPr>
                <w:b w:val="1"/>
                <w:color w:val="ffffff"/>
                <w:sz w:val="22"/>
                <w:szCs w:val="22"/>
                <w:rtl w:val="0"/>
              </w:rPr>
              <w:t xml:space="preserve">Total Number Exception Proceedings</w:t>
            </w:r>
            <w:r w:rsidDel="00000000" w:rsidR="00000000" w:rsidRPr="00000000">
              <w:rPr>
                <w:rtl w:val="0"/>
              </w:rPr>
            </w:r>
          </w:p>
        </w:tc>
        <w:tc>
          <w:tcPr/>
          <w:p w:rsidR="00000000" w:rsidDel="00000000" w:rsidP="00000000" w:rsidRDefault="00000000" w:rsidRPr="00000000" w14:paraId="0000005F">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60">
            <w:pPr>
              <w:jc w:val="center"/>
              <w:rPr>
                <w:b w:val="1"/>
                <w:color w:val="ffffff"/>
              </w:rPr>
            </w:pPr>
            <w:r w:rsidDel="00000000" w:rsidR="00000000" w:rsidRPr="00000000">
              <w:rPr>
                <w:b w:val="1"/>
                <w:color w:val="ffffff"/>
                <w:sz w:val="22"/>
                <w:szCs w:val="22"/>
                <w:rtl w:val="0"/>
              </w:rPr>
              <w:t xml:space="preserve">Total Number Commitment Hearings</w:t>
            </w:r>
            <w:r w:rsidDel="00000000" w:rsidR="00000000" w:rsidRPr="00000000">
              <w:rPr>
                <w:rtl w:val="0"/>
              </w:rPr>
            </w:r>
          </w:p>
        </w:tc>
        <w:tc>
          <w:tcPr/>
          <w:p w:rsidR="00000000" w:rsidDel="00000000" w:rsidP="00000000" w:rsidRDefault="00000000" w:rsidRPr="00000000" w14:paraId="00000061">
            <w:pPr>
              <w:jc w:val="center"/>
              <w:rPr>
                <w:b w:val="1"/>
                <w:color w:val="ffffff"/>
              </w:rPr>
            </w:pPr>
            <w:r w:rsidDel="00000000" w:rsidR="00000000" w:rsidRPr="00000000">
              <w:rPr>
                <w:rtl w:val="0"/>
              </w:rPr>
            </w:r>
          </w:p>
        </w:tc>
      </w:tr>
      <w:tr>
        <w:trPr>
          <w:cantSplit w:val="0"/>
          <w:tblHeader w:val="0"/>
        </w:trPr>
        <w:tc>
          <w:tcPr>
            <w:shd w:fill="00cc00" w:val="clear"/>
            <w:vAlign w:val="bottom"/>
          </w:tcPr>
          <w:p w:rsidR="00000000" w:rsidDel="00000000" w:rsidP="00000000" w:rsidRDefault="00000000" w:rsidRPr="00000000" w14:paraId="00000062">
            <w:pPr>
              <w:jc w:val="center"/>
              <w:rPr>
                <w:b w:val="1"/>
                <w:color w:val="ffffff"/>
              </w:rPr>
            </w:pPr>
            <w:r w:rsidDel="00000000" w:rsidR="00000000" w:rsidRPr="00000000">
              <w:rPr>
                <w:b w:val="1"/>
                <w:color w:val="ffffff"/>
                <w:sz w:val="22"/>
                <w:szCs w:val="22"/>
                <w:rtl w:val="0"/>
              </w:rPr>
              <w:t xml:space="preserve">Total Number Review Proceedings</w:t>
            </w:r>
            <w:r w:rsidDel="00000000" w:rsidR="00000000" w:rsidRPr="00000000">
              <w:rPr>
                <w:rtl w:val="0"/>
              </w:rPr>
            </w:r>
          </w:p>
        </w:tc>
        <w:tc>
          <w:tcPr>
            <w:vAlign w:val="bottom"/>
          </w:tcPr>
          <w:p w:rsidR="00000000" w:rsidDel="00000000" w:rsidP="00000000" w:rsidRDefault="00000000" w:rsidRPr="00000000" w14:paraId="00000063">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64">
            <w:pPr>
              <w:jc w:val="center"/>
              <w:rPr>
                <w:b w:val="1"/>
                <w:color w:val="ffffff"/>
              </w:rPr>
            </w:pPr>
            <w:r w:rsidDel="00000000" w:rsidR="00000000" w:rsidRPr="00000000">
              <w:rPr>
                <w:b w:val="1"/>
                <w:color w:val="ffffff"/>
                <w:sz w:val="22"/>
                <w:szCs w:val="22"/>
                <w:rtl w:val="0"/>
              </w:rPr>
              <w:t xml:space="preserve">Total Number Mediations</w:t>
            </w:r>
            <w:r w:rsidDel="00000000" w:rsidR="00000000" w:rsidRPr="00000000">
              <w:rPr>
                <w:rtl w:val="0"/>
              </w:rPr>
            </w:r>
          </w:p>
        </w:tc>
        <w:tc>
          <w:tcPr/>
          <w:p w:rsidR="00000000" w:rsidDel="00000000" w:rsidP="00000000" w:rsidRDefault="00000000" w:rsidRPr="00000000" w14:paraId="00000065">
            <w:pPr>
              <w:jc w:val="center"/>
              <w:rPr>
                <w:b w:val="1"/>
                <w:color w:val="ffffff"/>
              </w:rPr>
            </w:pPr>
            <w:r w:rsidDel="00000000" w:rsidR="00000000" w:rsidRPr="00000000">
              <w:rPr>
                <w:rtl w:val="0"/>
              </w:rPr>
            </w:r>
          </w:p>
        </w:tc>
        <w:tc>
          <w:tcPr>
            <w:shd w:fill="00cc00" w:val="clear"/>
            <w:vAlign w:val="center"/>
          </w:tcPr>
          <w:p w:rsidR="00000000" w:rsidDel="00000000" w:rsidP="00000000" w:rsidRDefault="00000000" w:rsidRPr="00000000" w14:paraId="00000066">
            <w:pPr>
              <w:jc w:val="center"/>
              <w:rPr>
                <w:b w:val="1"/>
                <w:color w:val="ffffff"/>
              </w:rPr>
            </w:pPr>
            <w:r w:rsidDel="00000000" w:rsidR="00000000" w:rsidRPr="00000000">
              <w:rPr>
                <w:b w:val="1"/>
                <w:color w:val="ffffff"/>
                <w:sz w:val="22"/>
                <w:szCs w:val="22"/>
                <w:rtl w:val="0"/>
              </w:rPr>
              <w:t xml:space="preserve">Total Number Administrative Hearings</w:t>
            </w:r>
            <w:r w:rsidDel="00000000" w:rsidR="00000000" w:rsidRPr="00000000">
              <w:rPr>
                <w:rtl w:val="0"/>
              </w:rPr>
            </w:r>
          </w:p>
        </w:tc>
        <w:tc>
          <w:tcPr/>
          <w:p w:rsidR="00000000" w:rsidDel="00000000" w:rsidP="00000000" w:rsidRDefault="00000000" w:rsidRPr="00000000" w14:paraId="00000067">
            <w:pPr>
              <w:jc w:val="center"/>
              <w:rPr>
                <w:b w:val="1"/>
                <w:color w:val="ffffff"/>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8"/>
          <w:szCs w:val="8"/>
          <w:u w:val="single"/>
          <w:shd w:fill="auto" w:val="clear"/>
          <w:vertAlign w:val="baseline"/>
        </w:rPr>
      </w:pPr>
      <w:r w:rsidDel="00000000" w:rsidR="00000000" w:rsidRPr="00000000">
        <w:rPr>
          <w:rtl w:val="0"/>
        </w:rPr>
      </w:r>
    </w:p>
    <w:tbl>
      <w:tblPr>
        <w:tblStyle w:val="Table5"/>
        <w:tblW w:w="16411.0" w:type="dxa"/>
        <w:jc w:val="left"/>
        <w:tblInd w:w="107.0" w:type="dxa"/>
        <w:tblLayout w:type="fixed"/>
        <w:tblLook w:val="0400"/>
      </w:tblPr>
      <w:tblGrid>
        <w:gridCol w:w="2429"/>
        <w:gridCol w:w="993"/>
        <w:gridCol w:w="717"/>
        <w:gridCol w:w="127"/>
        <w:gridCol w:w="503"/>
        <w:gridCol w:w="1067"/>
        <w:gridCol w:w="722"/>
        <w:gridCol w:w="371"/>
        <w:gridCol w:w="1046"/>
        <w:gridCol w:w="702"/>
        <w:gridCol w:w="412"/>
        <w:gridCol w:w="286"/>
        <w:gridCol w:w="696"/>
        <w:gridCol w:w="236"/>
        <w:gridCol w:w="1710"/>
        <w:gridCol w:w="2121"/>
        <w:gridCol w:w="2273"/>
        <w:tblGridChange w:id="0">
          <w:tblGrid>
            <w:gridCol w:w="2429"/>
            <w:gridCol w:w="993"/>
            <w:gridCol w:w="717"/>
            <w:gridCol w:w="127"/>
            <w:gridCol w:w="503"/>
            <w:gridCol w:w="1067"/>
            <w:gridCol w:w="722"/>
            <w:gridCol w:w="371"/>
            <w:gridCol w:w="1046"/>
            <w:gridCol w:w="702"/>
            <w:gridCol w:w="412"/>
            <w:gridCol w:w="286"/>
            <w:gridCol w:w="696"/>
            <w:gridCol w:w="236"/>
            <w:gridCol w:w="1710"/>
            <w:gridCol w:w="2121"/>
            <w:gridCol w:w="2273"/>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rPr>
                <w:rFonts w:ascii="Arial" w:cs="Arial" w:eastAsia="Arial" w:hAnsi="Arial"/>
                <w:b w:val="1"/>
                <w:i w:val="1"/>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rPr>
                <w:rFonts w:ascii="Arial" w:cs="Arial" w:eastAsia="Arial" w:hAnsi="Arial"/>
                <w:b w:val="1"/>
                <w:i w:val="1"/>
                <w:sz w:val="20"/>
                <w:szCs w:val="20"/>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E">
            <w:pPr>
              <w:rPr>
                <w:rFonts w:ascii="Arial" w:cs="Arial" w:eastAsia="Arial" w:hAnsi="Arial"/>
                <w:b w:val="1"/>
                <w:i w:val="1"/>
                <w:sz w:val="20"/>
                <w:szCs w:val="20"/>
              </w:rPr>
            </w:pPr>
            <w:r w:rsidDel="00000000" w:rsidR="00000000" w:rsidRPr="00000000">
              <w:rPr>
                <w:rtl w:val="0"/>
              </w:rPr>
            </w:r>
          </w:p>
        </w:tc>
      </w:tr>
      <w:tr>
        <w:trPr>
          <w:cantSplit w:val="0"/>
          <w:trHeight w:val="855" w:hRule="atLeast"/>
          <w:tblHeader w:val="0"/>
        </w:trPr>
        <w:tc>
          <w:tcPr>
            <w:tcBorders>
              <w:top w:color="000000" w:space="0" w:sz="8" w:val="single"/>
              <w:left w:color="000000" w:space="0" w:sz="8" w:val="single"/>
              <w:bottom w:color="000000" w:space="0" w:sz="0" w:val="nil"/>
              <w:right w:color="000000" w:space="0" w:sz="8" w:val="single"/>
            </w:tcBorders>
            <w:shd w:fill="ffc000" w:val="clear"/>
            <w:vAlign w:val="center"/>
          </w:tcPr>
          <w:p w:rsidR="00000000" w:rsidDel="00000000" w:rsidP="00000000" w:rsidRDefault="00000000" w:rsidRPr="00000000" w14:paraId="0000007C">
            <w:pPr>
              <w:jc w:val="center"/>
              <w:rPr>
                <w:b w:val="1"/>
                <w:color w:val="ffffff"/>
              </w:rPr>
            </w:pPr>
            <w:r w:rsidDel="00000000" w:rsidR="00000000" w:rsidRPr="00000000">
              <w:rPr>
                <w:b w:val="1"/>
                <w:color w:val="ffffff"/>
                <w:sz w:val="22"/>
                <w:szCs w:val="22"/>
                <w:rtl w:val="0"/>
              </w:rPr>
              <w:t xml:space="preserve">Is Annual Certificate of Insurance Attached</w:t>
            </w:r>
            <w:r w:rsidDel="00000000" w:rsidR="00000000" w:rsidRPr="00000000">
              <w:rPr>
                <w:b w:val="1"/>
                <w:color w:val="ffffff"/>
                <w:sz w:val="22"/>
                <w:szCs w:val="22"/>
                <w:vertAlign w:val="superscript"/>
              </w:rPr>
              <w:footnoteReference w:customMarkFollows="0" w:id="7"/>
            </w:r>
            <w:r w:rsidDel="00000000" w:rsidR="00000000" w:rsidRPr="00000000">
              <w:rPr>
                <w:b w:val="1"/>
                <w:color w:val="ffffff"/>
                <w:sz w:val="22"/>
                <w:szCs w:val="22"/>
                <w:rtl w:val="0"/>
              </w:rPr>
              <w:t xml:space="preserve">?</w:t>
            </w:r>
            <w:r w:rsidDel="00000000" w:rsidR="00000000" w:rsidRPr="00000000">
              <w:rPr>
                <w:rtl w:val="0"/>
              </w:rPr>
            </w:r>
          </w:p>
          <w:p w:rsidR="00000000" w:rsidDel="00000000" w:rsidP="00000000" w:rsidRDefault="00000000" w:rsidRPr="00000000" w14:paraId="0000007D">
            <w:pPr>
              <w:jc w:val="center"/>
              <w:rPr>
                <w:b w:val="1"/>
                <w:color w:val="ffffff"/>
              </w:rPr>
            </w:pPr>
            <w:r w:rsidDel="00000000" w:rsidR="00000000" w:rsidRPr="00000000">
              <w:rPr>
                <w:b w:val="1"/>
                <w:color w:val="ffffff"/>
                <w:sz w:val="22"/>
                <w:szCs w:val="22"/>
                <w:rtl w:val="0"/>
              </w:rPr>
              <w:t xml:space="preserve">Yes/No</w:t>
            </w:r>
            <w:r w:rsidDel="00000000" w:rsidR="00000000" w:rsidRPr="00000000">
              <w:rPr>
                <w:rtl w:val="0"/>
              </w:rPr>
            </w:r>
          </w:p>
        </w:tc>
        <w:tc>
          <w:tcPr>
            <w:gridSpan w:val="4"/>
            <w:tcBorders>
              <w:top w:color="000000" w:space="0" w:sz="8" w:val="single"/>
              <w:left w:color="000000" w:space="0" w:sz="8" w:val="single"/>
              <w:bottom w:color="000000" w:space="0" w:sz="0" w:val="nil"/>
              <w:right w:color="000000" w:space="0" w:sz="8" w:val="single"/>
            </w:tcBorders>
            <w:shd w:fill="ffc000" w:val="clear"/>
            <w:vAlign w:val="center"/>
          </w:tcPr>
          <w:p w:rsidR="00000000" w:rsidDel="00000000" w:rsidP="00000000" w:rsidRDefault="00000000" w:rsidRPr="00000000" w14:paraId="0000007E">
            <w:pPr>
              <w:jc w:val="center"/>
              <w:rPr>
                <w:b w:val="1"/>
                <w:color w:val="ffffff"/>
              </w:rPr>
            </w:pPr>
            <w:r w:rsidDel="00000000" w:rsidR="00000000" w:rsidRPr="00000000">
              <w:rPr>
                <w:b w:val="1"/>
                <w:color w:val="ffffff"/>
                <w:sz w:val="22"/>
                <w:szCs w:val="22"/>
                <w:rtl w:val="0"/>
              </w:rPr>
              <w:t xml:space="preserve">Contracted Dollar Amount for the Reporting Period</w:t>
            </w:r>
            <w:r w:rsidDel="00000000" w:rsidR="00000000" w:rsidRPr="00000000">
              <w:rPr>
                <w:rtl w:val="0"/>
              </w:rPr>
            </w:r>
          </w:p>
        </w:tc>
        <w:tc>
          <w:tcPr>
            <w:gridSpan w:val="3"/>
            <w:tcBorders>
              <w:top w:color="000000" w:space="0" w:sz="8" w:val="single"/>
              <w:left w:color="000000" w:space="0" w:sz="0" w:val="nil"/>
              <w:bottom w:color="000000" w:space="0" w:sz="0" w:val="nil"/>
              <w:right w:color="000000" w:space="0" w:sz="8" w:val="single"/>
            </w:tcBorders>
            <w:shd w:fill="ffc000" w:val="clear"/>
            <w:vAlign w:val="center"/>
          </w:tcPr>
          <w:p w:rsidR="00000000" w:rsidDel="00000000" w:rsidP="00000000" w:rsidRDefault="00000000" w:rsidRPr="00000000" w14:paraId="00000082">
            <w:pPr>
              <w:jc w:val="center"/>
              <w:rPr>
                <w:b w:val="1"/>
                <w:color w:val="ffffff"/>
              </w:rPr>
            </w:pPr>
            <w:r w:rsidDel="00000000" w:rsidR="00000000" w:rsidRPr="00000000">
              <w:rPr>
                <w:b w:val="1"/>
                <w:color w:val="ffffff"/>
                <w:sz w:val="22"/>
                <w:szCs w:val="22"/>
                <w:rtl w:val="0"/>
              </w:rPr>
              <w:t xml:space="preserve">Total Amount Billed at the Close of the Reporting Period</w:t>
            </w:r>
            <w:r w:rsidDel="00000000" w:rsidR="00000000" w:rsidRPr="00000000">
              <w:rPr>
                <w:rtl w:val="0"/>
              </w:rPr>
            </w:r>
          </w:p>
        </w:tc>
        <w:tc>
          <w:tcPr>
            <w:gridSpan w:val="3"/>
            <w:tcBorders>
              <w:top w:color="000000" w:space="0" w:sz="8" w:val="single"/>
              <w:left w:color="000000" w:space="0" w:sz="0" w:val="nil"/>
              <w:bottom w:color="000000" w:space="0" w:sz="0" w:val="nil"/>
              <w:right w:color="000000" w:space="0" w:sz="8" w:val="single"/>
            </w:tcBorders>
            <w:shd w:fill="ffc000" w:val="clear"/>
            <w:vAlign w:val="center"/>
          </w:tcPr>
          <w:p w:rsidR="00000000" w:rsidDel="00000000" w:rsidP="00000000" w:rsidRDefault="00000000" w:rsidRPr="00000000" w14:paraId="00000085">
            <w:pPr>
              <w:jc w:val="center"/>
              <w:rPr>
                <w:b w:val="1"/>
                <w:color w:val="ffffff"/>
              </w:rPr>
            </w:pPr>
            <w:r w:rsidDel="00000000" w:rsidR="00000000" w:rsidRPr="00000000">
              <w:rPr>
                <w:b w:val="1"/>
                <w:color w:val="ffffff"/>
                <w:sz w:val="22"/>
                <w:szCs w:val="22"/>
                <w:rtl w:val="0"/>
              </w:rPr>
              <w:t xml:space="preserve">Contract Balance at the Close of the Reporting Period</w:t>
            </w:r>
            <w:r w:rsidDel="00000000" w:rsidR="00000000" w:rsidRPr="00000000">
              <w:rPr>
                <w:rtl w:val="0"/>
              </w:rPr>
            </w:r>
          </w:p>
        </w:tc>
        <w:tc>
          <w:tcPr>
            <w:gridSpan w:val="5"/>
            <w:tcBorders>
              <w:top w:color="000000" w:space="0" w:sz="8" w:val="single"/>
              <w:left w:color="000000" w:space="0" w:sz="0" w:val="nil"/>
              <w:bottom w:color="000000" w:space="0" w:sz="0" w:val="nil"/>
              <w:right w:color="000000" w:space="0" w:sz="8" w:val="single"/>
            </w:tcBorders>
            <w:shd w:fill="ffc000" w:val="clear"/>
            <w:vAlign w:val="center"/>
          </w:tcPr>
          <w:p w:rsidR="00000000" w:rsidDel="00000000" w:rsidP="00000000" w:rsidRDefault="00000000" w:rsidRPr="00000000" w14:paraId="00000088">
            <w:pPr>
              <w:jc w:val="center"/>
              <w:rPr>
                <w:b w:val="1"/>
                <w:color w:val="ffffff"/>
              </w:rPr>
            </w:pPr>
            <w:r w:rsidDel="00000000" w:rsidR="00000000" w:rsidRPr="00000000">
              <w:rPr>
                <w:b w:val="1"/>
                <w:color w:val="ffffff"/>
                <w:sz w:val="22"/>
                <w:szCs w:val="22"/>
                <w:rtl w:val="0"/>
              </w:rPr>
              <w:t xml:space="preserve">If Contract Balance shows a DEFICIT, please provide a justification of over-expenditure.</w:t>
            </w:r>
            <w:r w:rsidDel="00000000" w:rsidR="00000000" w:rsidRPr="00000000">
              <w:rPr>
                <w:rtl w:val="0"/>
              </w:rPr>
            </w:r>
          </w:p>
        </w:tc>
      </w:tr>
      <w:tr>
        <w:trPr>
          <w:cantSplit w:val="0"/>
          <w:trHeight w:val="15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4">
            <w:pP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B">
            <w:pPr>
              <w:jc w:val="center"/>
              <w:rPr>
                <w:rFonts w:ascii="Arial" w:cs="Arial" w:eastAsia="Arial" w:hAnsi="Arial"/>
                <w:sz w:val="20"/>
                <w:szCs w:val="20"/>
              </w:rPr>
            </w:pPr>
            <w:r w:rsidDel="00000000" w:rsidR="00000000" w:rsidRPr="00000000">
              <w:rPr>
                <w:rtl w:val="0"/>
              </w:rPr>
            </w:r>
          </w:p>
        </w:tc>
        <w:tc>
          <w:tcPr>
            <w:gridSpan w:val="5"/>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tc>
      </w:tr>
      <w:tr>
        <w:trPr>
          <w:cantSplit w:val="0"/>
          <w:trHeight w:val="2618" w:hRule="atLeast"/>
          <w:tblHeader w:val="0"/>
        </w:trPr>
        <w:tc>
          <w:tcPr>
            <w:vMerge w:val="restart"/>
            <w:tcBorders>
              <w:top w:color="000000" w:space="0" w:sz="4" w:val="single"/>
            </w:tcBorders>
          </w:tcPr>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tc>
        <w:tc>
          <w:tcPr>
            <w:gridSpan w:val="10"/>
            <w:tcBorders>
              <w:top w:color="000000" w:space="0" w:sz="4" w:val="single"/>
              <w:left w:color="000000" w:space="0" w:sz="0" w:val="nil"/>
              <w:right w:color="000000" w:space="0" w:sz="4" w:val="single"/>
            </w:tcBorders>
            <w:shd w:fill="auto" w:val="clear"/>
            <w:vAlign w:val="bottom"/>
          </w:tcPr>
          <w:p w:rsidR="00000000" w:rsidDel="00000000" w:rsidP="00000000" w:rsidRDefault="00000000" w:rsidRPr="00000000" w14:paraId="000000C1">
            <w:pPr>
              <w:jc w:val="center"/>
              <w:rPr>
                <w:rFonts w:ascii="Arial" w:cs="Arial" w:eastAsia="Arial" w:hAnsi="Arial"/>
                <w:sz w:val="20"/>
                <w:szCs w:val="20"/>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55" w:hRule="atLeast"/>
          <w:tblHeader w:val="0"/>
        </w:trPr>
        <w:tc>
          <w:tcPr>
            <w:vMerge w:val="continue"/>
            <w:tcBorders>
              <w:top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F">
      <w:pPr>
        <w:rPr>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Provider Certification</w:t>
      </w:r>
    </w:p>
    <w:p w:rsidR="00000000" w:rsidDel="00000000" w:rsidP="00000000" w:rsidRDefault="00000000" w:rsidRPr="00000000" w14:paraId="000000E1">
      <w:pPr>
        <w:ind w:left="360" w:firstLine="0"/>
        <w:rPr>
          <w:b w:val="1"/>
          <w:i w:val="1"/>
        </w:rPr>
      </w:pPr>
      <w:r w:rsidDel="00000000" w:rsidR="00000000" w:rsidRPr="00000000">
        <w:rPr>
          <w:rtl w:val="0"/>
        </w:rPr>
      </w:r>
    </w:p>
    <w:p w:rsidR="00000000" w:rsidDel="00000000" w:rsidP="00000000" w:rsidRDefault="00000000" w:rsidRPr="00000000" w14:paraId="000000E2">
      <w:pPr>
        <w:ind w:left="360" w:firstLine="0"/>
        <w:rPr>
          <w:b w:val="1"/>
          <w:i w:val="1"/>
        </w:rPr>
      </w:pPr>
      <w:r w:rsidDel="00000000" w:rsidR="00000000" w:rsidRPr="00000000">
        <w:rPr>
          <w:b w:val="1"/>
          <w:i w:val="1"/>
          <w:rtl w:val="0"/>
        </w:rPr>
        <w:t xml:space="preserve">To my knowledge, I certify the information in the Annual Report is accurate.</w:t>
      </w:r>
    </w:p>
    <w:p w:rsidR="00000000" w:rsidDel="00000000" w:rsidP="00000000" w:rsidRDefault="00000000" w:rsidRPr="00000000" w14:paraId="000000E3">
      <w:pPr>
        <w:ind w:left="360" w:firstLine="0"/>
        <w:rPr>
          <w:b w:val="1"/>
        </w:rPr>
      </w:pPr>
      <w:r w:rsidDel="00000000" w:rsidR="00000000" w:rsidRPr="00000000">
        <w:rPr>
          <w:rtl w:val="0"/>
        </w:rPr>
      </w:r>
    </w:p>
    <w:p w:rsidR="00000000" w:rsidDel="00000000" w:rsidP="00000000" w:rsidRDefault="00000000" w:rsidRPr="00000000" w14:paraId="000000E4">
      <w:pPr>
        <w:ind w:left="360" w:firstLine="0"/>
        <w:rPr>
          <w:b w:val="1"/>
        </w:rPr>
      </w:pPr>
      <w:r w:rsidDel="00000000" w:rsidR="00000000" w:rsidRPr="00000000">
        <w:rPr>
          <w:b w:val="1"/>
          <w:rtl w:val="0"/>
        </w:rPr>
        <w:t xml:space="preserve">Project Manager (Print Name):</w:t>
        <w:tab/>
        <w:t xml:space="preserve">______________________________________</w:t>
      </w:r>
    </w:p>
    <w:p w:rsidR="00000000" w:rsidDel="00000000" w:rsidP="00000000" w:rsidRDefault="00000000" w:rsidRPr="00000000" w14:paraId="000000E5">
      <w:pPr>
        <w:ind w:left="360" w:firstLine="0"/>
        <w:rPr>
          <w:b w:val="1"/>
        </w:rPr>
      </w:pPr>
      <w:r w:rsidDel="00000000" w:rsidR="00000000" w:rsidRPr="00000000">
        <w:rPr>
          <w:rtl w:val="0"/>
        </w:rPr>
      </w:r>
    </w:p>
    <w:p w:rsidR="00000000" w:rsidDel="00000000" w:rsidP="00000000" w:rsidRDefault="00000000" w:rsidRPr="00000000" w14:paraId="000000E6">
      <w:pPr>
        <w:ind w:left="360" w:firstLine="0"/>
        <w:rPr>
          <w:b w:val="1"/>
        </w:rPr>
      </w:pPr>
      <w:r w:rsidDel="00000000" w:rsidR="00000000" w:rsidRPr="00000000">
        <w:rPr>
          <w:rtl w:val="0"/>
        </w:rPr>
      </w:r>
    </w:p>
    <w:p w:rsidR="00000000" w:rsidDel="00000000" w:rsidP="00000000" w:rsidRDefault="00000000" w:rsidRPr="00000000" w14:paraId="000000E7">
      <w:pPr>
        <w:ind w:left="360" w:firstLine="0"/>
        <w:rPr>
          <w:b w:val="1"/>
          <w:u w:val="single"/>
        </w:rPr>
      </w:pPr>
      <w:r w:rsidDel="00000000" w:rsidR="00000000" w:rsidRPr="00000000">
        <w:rPr>
          <w:b w:val="1"/>
          <w:rtl w:val="0"/>
        </w:rPr>
        <w:t xml:space="preserve">Project Manager (Signature):</w:t>
        <w:tab/>
        <w:t xml:space="preserve">______________________________________</w:t>
        <w:tab/>
        <w:t xml:space="preserve">Date:</w:t>
        <w:tab/>
        <w:t xml:space="preserve">______________________</w:t>
      </w:r>
      <w:r w:rsidDel="00000000" w:rsidR="00000000" w:rsidRPr="00000000">
        <w:rPr>
          <w:rtl w:val="0"/>
        </w:rPr>
      </w:r>
    </w:p>
    <w:p w:rsidR="00000000" w:rsidDel="00000000" w:rsidP="00000000" w:rsidRDefault="00000000" w:rsidRPr="00000000" w14:paraId="000000E8">
      <w:pPr>
        <w:rPr>
          <w:b w:val="1"/>
          <w:sz w:val="28"/>
          <w:szCs w:val="28"/>
          <w:u w:val="single"/>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Please use additional sheets if necessary.</w:t>
      </w:r>
    </w:p>
  </w:footnote>
  <w:footnote w:id="1">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Prior to removing any attorney assigned to this contract or should an attorney leave the employment of your firm/organization, the Project Manager shall notify the Director of MLSP, in writing, at least thirty (30) days in advance of such removal or departure where possible.  In addition, to ensure that the replacement of any attorney shall be with staff of equal ability, qualifications and experience, the Project Manager shall send written notification within thirty (30) days of the change, on a rolling basis, of any new hires, resignations, or terminations of attorneys to the Director of MLSP.  Prior to the replacement of any attorney, the Project Manager shall provides the Director of MLSP with a current resume and Certificate of Good Standing from the Maryland Court of Appeals for any new hires to verify qualifications to serve under the contract.</w:t>
      </w:r>
    </w:p>
  </w:footnote>
  <w:footnote w:id="2">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Under this contract, your firm/organization is required to annually provide MLSP with Certificates of Good Standing for all attorneys under the contract.  If a new attorney is hired, please submit the following documents to MLSP:  (1) Certificate of Good Standing and (2) Resume.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superscript"/>
          <w:rtl w:val="0"/>
        </w:rPr>
        <w:t xml:space="preserve">7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Total amount paid for the Contract year with fringe benefits listed individually.</w:t>
      </w:r>
    </w:p>
  </w:footnote>
  <w:footnote w:id="3">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This selection should reflect the cases/proceedings during this reporting period.  Please note that the Total Number of Proceedings/Hearings in each category may not equal the Total Number of Cases Billed since the Contract only allows for one (1) billing per case/per year.</w:t>
      </w:r>
    </w:p>
  </w:footnote>
  <w:footnote w:id="4">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These meetings may include, but are not limited to, IEP meetings, other educational meetings, family involvement meetings, treatment meetings, etc.</w:t>
      </w:r>
    </w:p>
  </w:footnote>
  <w:footnote w:id="5">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These meetings may include, but are not limited to, IEP meetings, other educational meetings, family involvement meetings, treatment meetings, etc.</w:t>
      </w:r>
    </w:p>
  </w:footnote>
  <w:footnote w:id="6">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These meetings may include, but are not limited to, IEP meetings, other educational meetings, family involvement meetings, treatment meetings, etc.</w:t>
      </w:r>
    </w:p>
  </w:footnote>
  <w:footnote w:id="7">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Director of MLSP shall receive written notification of non-renewal and/or cancellation from the issuer of the insurance policies at least forty-five (45) days before the expiration of said policies.  In the event the State receives a notice of non-renewal and/or cancellation, the firm/organization must provide the Director of MLSP with an insurance policy from another carrier at least thirty (30) days prior to the expiration of the non-renewed insurance policy</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shd w:fill="d9d9d9" w:val="clear"/>
      <w:spacing w:after="120" w:lineRule="auto"/>
    </w:pPr>
    <w:rPr>
      <w:rFonts w:ascii="Times" w:cs="Times" w:eastAsia="Times" w:hAnsi="Times"/>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44EB"/>
    <w:pPr>
      <w:spacing w:after="0" w:line="240" w:lineRule="auto"/>
    </w:pPr>
    <w:rPr>
      <w:rFonts w:ascii="Times New Roman" w:cs="Times New Roman" w:eastAsia="Times New Roman" w:hAnsi="Times New Roman"/>
      <w:sz w:val="24"/>
      <w:szCs w:val="24"/>
    </w:rPr>
  </w:style>
  <w:style w:type="paragraph" w:styleId="Heading2">
    <w:name w:val="heading 2"/>
    <w:aliases w:val="2 headline,h"/>
    <w:basedOn w:val="Normal"/>
    <w:next w:val="Normal"/>
    <w:link w:val="Heading2Char"/>
    <w:qFormat w:val="1"/>
    <w:rsid w:val="003244EB"/>
    <w:pPr>
      <w:keepNext w:val="1"/>
      <w:pBdr>
        <w:top w:color="auto" w:space="1" w:sz="4" w:val="single"/>
        <w:left w:color="auto" w:space="4" w:sz="4" w:val="single"/>
        <w:bottom w:color="auto" w:space="1" w:sz="4" w:val="single"/>
        <w:right w:color="auto" w:space="4" w:sz="4" w:val="single"/>
      </w:pBdr>
      <w:shd w:color="auto" w:fill="d9d9d9" w:val="clear"/>
      <w:spacing w:after="120"/>
      <w:outlineLvl w:val="1"/>
    </w:pPr>
    <w:rPr>
      <w:rFonts w:ascii="Times New (W1)" w:hAnsi="Times New (W1)"/>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aliases w:val="2 headline Char,h Char"/>
    <w:basedOn w:val="DefaultParagraphFont"/>
    <w:link w:val="Heading2"/>
    <w:rsid w:val="003244EB"/>
    <w:rPr>
      <w:rFonts w:ascii="Times New (W1)" w:cs="Times New Roman" w:eastAsia="Times New Roman" w:hAnsi="Times New (W1)"/>
      <w:b w:val="1"/>
      <w:bCs w:val="1"/>
      <w:sz w:val="24"/>
      <w:szCs w:val="24"/>
      <w:shd w:color="auto" w:fill="d9d9d9" w:val="clear"/>
    </w:rPr>
  </w:style>
  <w:style w:type="paragraph" w:styleId="Header">
    <w:name w:val="header"/>
    <w:basedOn w:val="Normal"/>
    <w:link w:val="HeaderChar"/>
    <w:rsid w:val="003244EB"/>
    <w:pPr>
      <w:tabs>
        <w:tab w:val="center" w:pos="4320"/>
        <w:tab w:val="right" w:pos="8640"/>
      </w:tabs>
    </w:pPr>
  </w:style>
  <w:style w:type="character" w:styleId="HeaderChar" w:customStyle="1">
    <w:name w:val="Header Char"/>
    <w:basedOn w:val="DefaultParagraphFont"/>
    <w:link w:val="Header"/>
    <w:rsid w:val="003244EB"/>
    <w:rPr>
      <w:rFonts w:ascii="Times New Roman" w:cs="Times New Roman" w:eastAsia="Times New Roman" w:hAnsi="Times New Roman"/>
      <w:sz w:val="24"/>
      <w:szCs w:val="24"/>
    </w:rPr>
  </w:style>
  <w:style w:type="paragraph" w:styleId="ListParagraph">
    <w:name w:val="List Paragraph"/>
    <w:basedOn w:val="Normal"/>
    <w:uiPriority w:val="34"/>
    <w:qFormat w:val="1"/>
    <w:rsid w:val="003244EB"/>
    <w:pPr>
      <w:ind w:left="720"/>
    </w:pPr>
  </w:style>
  <w:style w:type="paragraph" w:styleId="FootnoteText">
    <w:name w:val="footnote text"/>
    <w:basedOn w:val="Normal"/>
    <w:link w:val="FootnoteTextChar"/>
    <w:uiPriority w:val="99"/>
    <w:semiHidden w:val="1"/>
    <w:rsid w:val="003244EB"/>
    <w:rPr>
      <w:rFonts w:ascii="Times New (W1)" w:hAnsi="Times New (W1)"/>
      <w:sz w:val="20"/>
      <w:szCs w:val="20"/>
    </w:rPr>
  </w:style>
  <w:style w:type="character" w:styleId="FootnoteTextChar" w:customStyle="1">
    <w:name w:val="Footnote Text Char"/>
    <w:basedOn w:val="DefaultParagraphFont"/>
    <w:link w:val="FootnoteText"/>
    <w:uiPriority w:val="99"/>
    <w:semiHidden w:val="1"/>
    <w:rsid w:val="003244EB"/>
    <w:rPr>
      <w:rFonts w:ascii="Times New (W1)" w:cs="Times New Roman" w:eastAsia="Times New Roman" w:hAnsi="Times New (W1)"/>
      <w:sz w:val="20"/>
      <w:szCs w:val="20"/>
    </w:rPr>
  </w:style>
  <w:style w:type="character" w:styleId="FootnoteReference">
    <w:name w:val="footnote reference"/>
    <w:uiPriority w:val="99"/>
    <w:semiHidden w:val="1"/>
    <w:rsid w:val="003244EB"/>
    <w:rPr>
      <w:vertAlign w:val="superscript"/>
    </w:rPr>
  </w:style>
  <w:style w:type="paragraph" w:styleId="BalloonText">
    <w:name w:val="Balloon Text"/>
    <w:basedOn w:val="Normal"/>
    <w:link w:val="BalloonTextChar"/>
    <w:uiPriority w:val="99"/>
    <w:semiHidden w:val="1"/>
    <w:unhideWhenUsed w:val="1"/>
    <w:rsid w:val="00646AB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46AB6"/>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GD97IiCTt0GtZjG3U5/wb58vw==">CgMxLjAyDmguYWk3NXYxMTY3cnl3OAByITFUVTVmeGNlU1ZZVDNRMExoOFBKb2VESFVnRURUTzF0OA==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2025-03-25T19:41:00Z</dcterms:created>
  <dc:creator>DHRAdmin</dc:creator>
</cp:coreProperties>
</file>